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AC316" w14:textId="53AD7791" w:rsidR="001C3F0C" w:rsidRDefault="00000000">
      <w:pPr>
        <w:pageBreakBefore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>2.13</w:t>
      </w:r>
      <w:r w:rsidR="002336CD">
        <w:rPr>
          <w:b/>
          <w:color w:val="000000"/>
          <w:sz w:val="28"/>
          <w:szCs w:val="28"/>
        </w:rPr>
        <w:t xml:space="preserve">. </w:t>
      </w:r>
      <w:r>
        <w:rPr>
          <w:b/>
          <w:smallCaps/>
          <w:color w:val="000000"/>
          <w:sz w:val="28"/>
          <w:szCs w:val="28"/>
        </w:rPr>
        <w:t>ASPECTOS AGRONÓMICOS ESPECÍFICOS DE LA FRUTA DULCE</w:t>
      </w:r>
    </w:p>
    <w:p w14:paraId="14FB1111" w14:textId="77777777" w:rsidR="001C3F0C" w:rsidRDefault="001C3F0C">
      <w:pPr>
        <w:widowControl/>
        <w:pBdr>
          <w:top w:val="nil"/>
          <w:left w:val="nil"/>
          <w:bottom w:val="nil"/>
          <w:right w:val="nil"/>
          <w:between w:val="nil"/>
        </w:pBdr>
        <w:rPr>
          <w:b/>
          <w:smallCaps/>
          <w:color w:val="000000"/>
          <w:sz w:val="28"/>
          <w:szCs w:val="28"/>
        </w:rPr>
      </w:pPr>
    </w:p>
    <w:tbl>
      <w:tblPr>
        <w:tblStyle w:val="a"/>
        <w:tblW w:w="14144" w:type="dxa"/>
        <w:tblInd w:w="-70" w:type="dxa"/>
        <w:tblLayout w:type="fixed"/>
        <w:tblLook w:val="0400" w:firstRow="0" w:lastRow="0" w:firstColumn="0" w:lastColumn="0" w:noHBand="0" w:noVBand="1"/>
      </w:tblPr>
      <w:tblGrid>
        <w:gridCol w:w="804"/>
        <w:gridCol w:w="4813"/>
        <w:gridCol w:w="5783"/>
        <w:gridCol w:w="1231"/>
        <w:gridCol w:w="520"/>
        <w:gridCol w:w="464"/>
        <w:gridCol w:w="529"/>
      </w:tblGrid>
      <w:tr w:rsidR="001C3F0C" w14:paraId="10A51EB4" w14:textId="77777777">
        <w:trPr>
          <w:trHeight w:val="508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CA6621" w14:textId="77777777" w:rsidR="001C3F0C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Punto</w:t>
            </w:r>
          </w:p>
        </w:tc>
        <w:tc>
          <w:tcPr>
            <w:tcW w:w="4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BCFF98" w14:textId="77777777" w:rsidR="001C3F0C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Punto de control</w:t>
            </w:r>
          </w:p>
        </w:tc>
        <w:tc>
          <w:tcPr>
            <w:tcW w:w="57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A62A95" w14:textId="77777777" w:rsidR="001C3F0C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Criterio de cumplimiento</w:t>
            </w:r>
          </w:p>
        </w:tc>
        <w:tc>
          <w:tcPr>
            <w:tcW w:w="12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BC7118" w14:textId="77777777" w:rsidR="001C3F0C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Criterio de evaluación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4B6CD3" w14:textId="77777777" w:rsidR="001C3F0C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9AC2F5" w14:textId="77777777" w:rsidR="001C3F0C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NC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35DE7C" w14:textId="77777777" w:rsidR="001C3F0C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NA</w:t>
            </w:r>
          </w:p>
        </w:tc>
      </w:tr>
      <w:tr w:rsidR="001C3F0C" w14:paraId="27349FD9" w14:textId="77777777" w:rsidTr="00592B7E">
        <w:trPr>
          <w:trHeight w:val="750"/>
        </w:trPr>
        <w:tc>
          <w:tcPr>
            <w:tcW w:w="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9AF1CB" w14:textId="3F4DA850" w:rsidR="001C3F0C" w:rsidRDefault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8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AE0C0" w14:textId="77777777" w:rsidR="001C3F0C" w:rsidRDefault="00000000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¿El sistema de formación de los árboles de las plantaciones es adecuado por el correcto desarrollo del árbol?</w:t>
            </w:r>
          </w:p>
        </w:tc>
        <w:tc>
          <w:tcPr>
            <w:tcW w:w="57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CCDDB8" w14:textId="77777777" w:rsidR="001C3F0C" w:rsidRDefault="00000000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 sistema de formación de los árboles incluidos al programa de PI, tiene que ser un sistema que favorezca y respete el estado fisiológico óptimo de las plantas</w:t>
            </w:r>
          </w:p>
        </w:tc>
        <w:tc>
          <w:tcPr>
            <w:tcW w:w="12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62CFFB" w14:textId="0919F1B0" w:rsidR="001C3F0C" w:rsidRDefault="00C840ED">
            <w:pPr>
              <w:jc w:val="center"/>
              <w:rPr>
                <w:color w:val="000000"/>
                <w:sz w:val="20"/>
                <w:szCs w:val="20"/>
              </w:rPr>
            </w:pPr>
            <w:r w:rsidRPr="00971331">
              <w:rPr>
                <w:rFonts w:cs="Arial"/>
                <w:sz w:val="28"/>
                <w:szCs w:val="28"/>
              </w:rPr>
              <w:sym w:font="Webdings" w:char="F04E"/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D1BEDA" w14:textId="77777777" w:rsidR="001C3F0C" w:rsidRDefault="001C3F0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rbel" w:eastAsia="Corbel" w:hAnsi="Corbel" w:cs="Corbel"/>
                <w:color w:val="000000"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395FA" w14:textId="77777777" w:rsidR="001C3F0C" w:rsidRDefault="001C3F0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rbel" w:eastAsia="Corbel" w:hAnsi="Corbel" w:cs="Corbel"/>
                <w:color w:val="000000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ED5723" w14:textId="77777777" w:rsidR="001C3F0C" w:rsidRDefault="001C3F0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rbel" w:eastAsia="Corbel" w:hAnsi="Corbel" w:cs="Corbel"/>
                <w:color w:val="000000"/>
                <w:sz w:val="20"/>
                <w:szCs w:val="20"/>
              </w:rPr>
            </w:pPr>
          </w:p>
        </w:tc>
      </w:tr>
      <w:tr w:rsidR="00664F41" w14:paraId="2B3E4345" w14:textId="77777777" w:rsidTr="00664F41">
        <w:trPr>
          <w:trHeight w:val="750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E52246" w14:textId="455D1E56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60941E" w14:textId="77777777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¿Se mantienen las distancias entre árboles de la plantación de forma que su desarrollo sea el correcto con la mínima intervención de poda?</w:t>
            </w:r>
          </w:p>
        </w:tc>
        <w:tc>
          <w:tcPr>
            <w:tcW w:w="57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F480D" w14:textId="77777777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La distancia entre los árboles tiene que permitir que la combinación portainjerto y variedad se desarrolle de forma óptima sin que se hagan necesarias intervenciones severas de poda</w:t>
            </w:r>
          </w:p>
        </w:tc>
        <w:tc>
          <w:tcPr>
            <w:tcW w:w="12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1BC5A9" w14:textId="7EBF57AE" w:rsidR="00664F41" w:rsidRDefault="00C840ED" w:rsidP="00664F41">
            <w:pPr>
              <w:jc w:val="center"/>
              <w:rPr>
                <w:sz w:val="20"/>
                <w:szCs w:val="20"/>
              </w:rPr>
            </w:pPr>
            <w:r w:rsidRPr="00971331">
              <w:rPr>
                <w:rFonts w:cs="Arial"/>
                <w:sz w:val="28"/>
                <w:szCs w:val="28"/>
              </w:rPr>
              <w:sym w:font="Webdings" w:char="F04E"/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7A9AF2" w14:textId="77777777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rbel" w:eastAsia="Corbel" w:hAnsi="Corbel" w:cs="Corbel"/>
                <w:color w:val="000000"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96F262" w14:textId="77777777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rbel" w:eastAsia="Corbel" w:hAnsi="Corbel" w:cs="Corbel"/>
                <w:color w:val="000000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DD637B" w14:textId="77777777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rbel" w:eastAsia="Corbel" w:hAnsi="Corbel" w:cs="Corbel"/>
                <w:color w:val="000000"/>
                <w:sz w:val="20"/>
                <w:szCs w:val="20"/>
              </w:rPr>
            </w:pPr>
          </w:p>
        </w:tc>
      </w:tr>
      <w:tr w:rsidR="00664F41" w14:paraId="37878976" w14:textId="77777777" w:rsidTr="00664F41">
        <w:trPr>
          <w:trHeight w:val="750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A782E3" w14:textId="5CCE4D65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55099E" w14:textId="77777777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Los productores no utilizan productos modificadores de la forma, colorantes o maduradores del fruto</w:t>
            </w:r>
          </w:p>
        </w:tc>
        <w:tc>
          <w:tcPr>
            <w:tcW w:w="57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899F00" w14:textId="1490C788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592B7E">
              <w:rPr>
                <w:color w:val="000000"/>
                <w:sz w:val="20"/>
                <w:szCs w:val="20"/>
              </w:rPr>
              <w:t>C</w:t>
            </w:r>
            <w:r>
              <w:rPr>
                <w:color w:val="000000"/>
                <w:sz w:val="20"/>
                <w:szCs w:val="20"/>
              </w:rPr>
              <w:t xml:space="preserve">uando no se pueda manejar con prácticas culturales </w:t>
            </w:r>
            <w:r w:rsidRPr="00592B7E">
              <w:rPr>
                <w:color w:val="000000"/>
                <w:sz w:val="20"/>
                <w:szCs w:val="20"/>
              </w:rPr>
              <w:t>se podrán utilizar con justificación previa del técnico, tratamientos con productos (naturales o sintéticos) a base de fitohormonas que se encuentran de manera natural dentro de las plantas (auxinas, giberelinas, etc.) y sus mezclas.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185ED35C" w14:textId="2A735468" w:rsidR="00664F41" w:rsidRPr="00592B7E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 si es</w:t>
            </w:r>
            <w:r w:rsidRPr="00592B7E">
              <w:rPr>
                <w:color w:val="000000"/>
                <w:sz w:val="20"/>
                <w:szCs w:val="20"/>
              </w:rPr>
              <w:t xml:space="preserve"> necesaria una intervención en los momentos críticos del proceso productivo (aclareo, cuajado, …) y control del crecimiento vegetativo, se permite la utilización de las substancias </w:t>
            </w:r>
            <w:proofErr w:type="spellStart"/>
            <w:r w:rsidRPr="00592B7E">
              <w:rPr>
                <w:color w:val="000000"/>
                <w:sz w:val="20"/>
                <w:szCs w:val="20"/>
              </w:rPr>
              <w:t>fitoreguladoras</w:t>
            </w:r>
            <w:proofErr w:type="spellEnd"/>
            <w:r w:rsidRPr="00592B7E">
              <w:rPr>
                <w:color w:val="000000"/>
                <w:sz w:val="20"/>
                <w:szCs w:val="20"/>
              </w:rPr>
              <w:t xml:space="preserve"> legalmente autorizadas.</w:t>
            </w:r>
          </w:p>
        </w:tc>
        <w:tc>
          <w:tcPr>
            <w:tcW w:w="12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DF258D" w14:textId="599A39AA" w:rsidR="00664F41" w:rsidRDefault="00C840ED" w:rsidP="00664F41">
            <w:pPr>
              <w:jc w:val="center"/>
              <w:rPr>
                <w:sz w:val="20"/>
                <w:szCs w:val="20"/>
              </w:rPr>
            </w:pPr>
            <w:r w:rsidRPr="00971331">
              <w:rPr>
                <w:rFonts w:cs="Arial"/>
                <w:sz w:val="28"/>
                <w:szCs w:val="28"/>
              </w:rPr>
              <w:sym w:font="Webdings" w:char="F04E"/>
            </w:r>
            <w:r w:rsidRPr="00971331">
              <w:rPr>
                <w:rFonts w:cs="Arial"/>
                <w:sz w:val="28"/>
                <w:szCs w:val="28"/>
              </w:rPr>
              <w:t>/</w:t>
            </w:r>
            <w:r w:rsidRPr="00971331">
              <w:rPr>
                <w:rFonts w:cs="Arial"/>
                <w:sz w:val="28"/>
                <w:szCs w:val="28"/>
              </w:rPr>
              <w:sym w:font="Webdings" w:char="F09E"/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B03D61" w14:textId="77777777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rbel" w:eastAsia="Corbel" w:hAnsi="Corbel" w:cs="Corbel"/>
                <w:color w:val="000000"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2FA40E" w14:textId="77777777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rbel" w:eastAsia="Corbel" w:hAnsi="Corbel" w:cs="Corbel"/>
                <w:color w:val="000000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B583A0" w14:textId="77777777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rbel" w:eastAsia="Corbel" w:hAnsi="Corbel" w:cs="Corbel"/>
                <w:color w:val="000000"/>
                <w:sz w:val="20"/>
                <w:szCs w:val="20"/>
              </w:rPr>
            </w:pPr>
          </w:p>
        </w:tc>
      </w:tr>
      <w:tr w:rsidR="00664F41" w14:paraId="07252355" w14:textId="77777777" w:rsidTr="00664F41">
        <w:trPr>
          <w:trHeight w:val="750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B142EA" w14:textId="3CE3046E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60FD0C" w14:textId="176EF1C5" w:rsidR="00664F41" w:rsidRP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rStyle w:val="Ninguno"/>
                <w:sz w:val="20"/>
                <w:szCs w:val="20"/>
              </w:rPr>
              <w:t>Se a</w:t>
            </w:r>
            <w:r w:rsidRPr="00E60D6F">
              <w:rPr>
                <w:rStyle w:val="Ninguno"/>
                <w:sz w:val="20"/>
                <w:szCs w:val="20"/>
              </w:rPr>
              <w:t>dmit</w:t>
            </w:r>
            <w:r w:rsidR="00853880">
              <w:rPr>
                <w:rStyle w:val="Ninguno"/>
                <w:sz w:val="20"/>
                <w:szCs w:val="20"/>
              </w:rPr>
              <w:t>e</w:t>
            </w:r>
            <w:r w:rsidRPr="00E60D6F">
              <w:rPr>
                <w:rStyle w:val="Ninguno"/>
                <w:sz w:val="20"/>
                <w:szCs w:val="20"/>
              </w:rPr>
              <w:t xml:space="preserve"> la diversidad de otras especies (almendros, algarrobos, etc.), con homogeneidad.</w:t>
            </w:r>
          </w:p>
        </w:tc>
        <w:tc>
          <w:tcPr>
            <w:tcW w:w="57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D8A0BC" w14:textId="77777777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 se puede superar el 10% de árboles de otras especies</w:t>
            </w:r>
          </w:p>
        </w:tc>
        <w:tc>
          <w:tcPr>
            <w:tcW w:w="12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9B0AF1" w14:textId="2AD5556B" w:rsidR="00664F41" w:rsidRDefault="00C840ED" w:rsidP="00664F41">
            <w:pPr>
              <w:jc w:val="center"/>
              <w:rPr>
                <w:sz w:val="20"/>
                <w:szCs w:val="20"/>
              </w:rPr>
            </w:pPr>
            <w:r w:rsidRPr="00971331">
              <w:rPr>
                <w:rFonts w:cs="Arial"/>
                <w:sz w:val="28"/>
                <w:szCs w:val="28"/>
              </w:rPr>
              <w:sym w:font="Webdings" w:char="F04E"/>
            </w:r>
            <w:r w:rsidRPr="00971331">
              <w:rPr>
                <w:rFonts w:cs="Arial"/>
                <w:sz w:val="28"/>
                <w:szCs w:val="28"/>
              </w:rPr>
              <w:t>/</w:t>
            </w:r>
            <w:r w:rsidRPr="00971331">
              <w:rPr>
                <w:rFonts w:cs="Arial"/>
                <w:sz w:val="28"/>
                <w:szCs w:val="28"/>
              </w:rPr>
              <w:sym w:font="Webdings" w:char="F09E"/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FF6D55" w14:textId="77777777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rbel" w:eastAsia="Corbel" w:hAnsi="Corbel" w:cs="Corbel"/>
                <w:color w:val="000000"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122F0B" w14:textId="77777777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rbel" w:eastAsia="Corbel" w:hAnsi="Corbel" w:cs="Corbel"/>
                <w:color w:val="000000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A398AF" w14:textId="77777777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rbel" w:eastAsia="Corbel" w:hAnsi="Corbel" w:cs="Corbel"/>
                <w:color w:val="000000"/>
                <w:sz w:val="20"/>
                <w:szCs w:val="20"/>
              </w:rPr>
            </w:pPr>
          </w:p>
        </w:tc>
      </w:tr>
      <w:tr w:rsidR="00664F41" w14:paraId="07D66441" w14:textId="77777777" w:rsidTr="00664F41">
        <w:trPr>
          <w:trHeight w:val="750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C9185F" w14:textId="33980FAA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B8B998" w14:textId="77777777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¿Cómo se maneja la polinización?</w:t>
            </w:r>
          </w:p>
        </w:tc>
        <w:tc>
          <w:tcPr>
            <w:tcW w:w="57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B4E830" w14:textId="25ED1170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En las plantaciones</w:t>
            </w:r>
            <w:r>
              <w:rPr>
                <w:color w:val="000000"/>
                <w:sz w:val="20"/>
                <w:szCs w:val="20"/>
              </w:rPr>
              <w:t xml:space="preserve"> nuevas deben plantar polinizadores. En plantaciones establecidas</w:t>
            </w:r>
            <w:r w:rsidR="00853880">
              <w:rPr>
                <w:color w:val="000000"/>
                <w:sz w:val="20"/>
                <w:szCs w:val="20"/>
              </w:rPr>
              <w:t xml:space="preserve"> sin polinizadores, se recomienda </w:t>
            </w:r>
            <w:r>
              <w:rPr>
                <w:color w:val="000000"/>
                <w:sz w:val="20"/>
                <w:szCs w:val="20"/>
              </w:rPr>
              <w:t xml:space="preserve">introducir agentes polinizadores que al menos cubran el 20% de los árboles distribuidos de forma </w:t>
            </w:r>
            <w:r>
              <w:rPr>
                <w:sz w:val="20"/>
                <w:szCs w:val="20"/>
              </w:rPr>
              <w:t>homogénea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2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3C6FD3" w14:textId="7304A7F1" w:rsidR="00664F41" w:rsidRDefault="00C840ED" w:rsidP="00664F41">
            <w:pPr>
              <w:jc w:val="center"/>
              <w:rPr>
                <w:sz w:val="20"/>
                <w:szCs w:val="20"/>
              </w:rPr>
            </w:pPr>
            <w:r w:rsidRPr="00971331">
              <w:rPr>
                <w:rFonts w:cs="Arial"/>
                <w:sz w:val="28"/>
                <w:szCs w:val="28"/>
              </w:rPr>
              <w:sym w:font="Webdings" w:char="F04E"/>
            </w:r>
            <w:r w:rsidRPr="00971331">
              <w:rPr>
                <w:rFonts w:cs="Arial"/>
                <w:sz w:val="28"/>
                <w:szCs w:val="28"/>
              </w:rPr>
              <w:t>/</w:t>
            </w:r>
            <w:r w:rsidRPr="00971331">
              <w:rPr>
                <w:rFonts w:cs="Arial"/>
                <w:sz w:val="28"/>
                <w:szCs w:val="28"/>
              </w:rPr>
              <w:sym w:font="Webdings" w:char="F09E"/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9ACB31" w14:textId="77777777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rbel" w:eastAsia="Corbel" w:hAnsi="Corbel" w:cs="Corbel"/>
                <w:color w:val="000000"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71F2F7" w14:textId="77777777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rbel" w:eastAsia="Corbel" w:hAnsi="Corbel" w:cs="Corbel"/>
                <w:color w:val="000000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82B13E" w14:textId="77777777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rbel" w:eastAsia="Corbel" w:hAnsi="Corbel" w:cs="Corbel"/>
                <w:color w:val="000000"/>
                <w:sz w:val="20"/>
                <w:szCs w:val="20"/>
              </w:rPr>
            </w:pPr>
          </w:p>
        </w:tc>
      </w:tr>
      <w:tr w:rsidR="00664F41" w14:paraId="1EA99F55" w14:textId="77777777" w:rsidTr="00664F41">
        <w:trPr>
          <w:trHeight w:val="750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A11FE3" w14:textId="1B85D389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5138E9" w14:textId="4FCF2B9A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 mantendrá una cubierta vegetal entre las hileras de los árboles el manejo de la cual se realizará mediante métodos mecánicos.</w:t>
            </w:r>
          </w:p>
        </w:tc>
        <w:tc>
          <w:tcPr>
            <w:tcW w:w="57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00F66C" w14:textId="2579E191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 plantaciones de regadío mantener una cubierta vegetal espontánea o sembrada para mejorar la fertilidad del suelo, disminuir el riesgo de pérdida de nutrientes y riegos de erosión, además de favorecer la aparición de fauna auxiliar. El mantenimiento de la cubierta vegetal se realizará con métodos mecánicos y las actuaciones se registrarán al cuaderno de explotación.</w:t>
            </w:r>
          </w:p>
        </w:tc>
        <w:tc>
          <w:tcPr>
            <w:tcW w:w="12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FA546A" w14:textId="7F8AEE14" w:rsidR="00664F41" w:rsidRDefault="00C840ED" w:rsidP="00664F41">
            <w:pPr>
              <w:jc w:val="center"/>
              <w:rPr>
                <w:sz w:val="20"/>
                <w:szCs w:val="20"/>
              </w:rPr>
            </w:pPr>
            <w:r w:rsidRPr="00971331">
              <w:rPr>
                <w:rFonts w:cs="Arial"/>
                <w:sz w:val="28"/>
                <w:szCs w:val="28"/>
              </w:rPr>
              <w:sym w:font="Webdings" w:char="F04E"/>
            </w:r>
            <w:r w:rsidRPr="00971331">
              <w:rPr>
                <w:rFonts w:cs="Arial"/>
                <w:sz w:val="28"/>
                <w:szCs w:val="28"/>
              </w:rPr>
              <w:t>/</w:t>
            </w:r>
            <w:r w:rsidRPr="00971331">
              <w:rPr>
                <w:rFonts w:cs="Arial"/>
                <w:sz w:val="28"/>
                <w:szCs w:val="28"/>
              </w:rPr>
              <w:sym w:font="Webdings" w:char="F09E"/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8555C6" w14:textId="77777777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rbel" w:eastAsia="Corbel" w:hAnsi="Corbel" w:cs="Corbel"/>
                <w:color w:val="000000"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388305" w14:textId="77777777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rbel" w:eastAsia="Corbel" w:hAnsi="Corbel" w:cs="Corbel"/>
                <w:color w:val="000000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07147D" w14:textId="77777777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rbel" w:eastAsia="Corbel" w:hAnsi="Corbel" w:cs="Corbel"/>
                <w:color w:val="000000"/>
                <w:sz w:val="20"/>
                <w:szCs w:val="20"/>
              </w:rPr>
            </w:pPr>
          </w:p>
        </w:tc>
      </w:tr>
      <w:tr w:rsidR="00664F41" w14:paraId="3CE883F4" w14:textId="77777777" w:rsidTr="00664F41">
        <w:trPr>
          <w:trHeight w:val="750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5241E3" w14:textId="01A4307E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4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B6A2A5" w14:textId="77777777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¿Se realiza un seguimiento del estado nutritivo de la planta anualmente, en plantaciones de más de tres años?</w:t>
            </w:r>
          </w:p>
        </w:tc>
        <w:tc>
          <w:tcPr>
            <w:tcW w:w="57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8A4D1D" w14:textId="41DB9AB1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Realizar análisis foliares cada año entre los 15 y 20 días antes de la recolección prevista. Se tiene que disponer de análisis para cada UHC definida a la explotación o conjunto de explotaciones. </w:t>
            </w:r>
          </w:p>
        </w:tc>
        <w:tc>
          <w:tcPr>
            <w:tcW w:w="12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BD1BB7" w14:textId="389E9B54" w:rsidR="00664F41" w:rsidRDefault="00C840ED" w:rsidP="00664F41">
            <w:pPr>
              <w:jc w:val="center"/>
              <w:rPr>
                <w:sz w:val="20"/>
                <w:szCs w:val="20"/>
              </w:rPr>
            </w:pPr>
            <w:r w:rsidRPr="00971331">
              <w:rPr>
                <w:rFonts w:cs="Arial"/>
                <w:sz w:val="28"/>
                <w:szCs w:val="28"/>
              </w:rPr>
              <w:sym w:font="Webdings" w:char="F09E"/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DD0E93" w14:textId="77777777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850819" w14:textId="77777777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949A1A" w14:textId="77777777" w:rsidR="00664F41" w:rsidRDefault="00664F41" w:rsidP="00664F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3F1AFD6F" w14:textId="77777777" w:rsidR="001C3F0C" w:rsidRDefault="001C3F0C">
      <w:pPr>
        <w:tabs>
          <w:tab w:val="left" w:pos="-540"/>
        </w:tabs>
        <w:rPr>
          <w:b/>
          <w:color w:val="000000"/>
          <w:sz w:val="28"/>
          <w:szCs w:val="28"/>
        </w:rPr>
      </w:pPr>
    </w:p>
    <w:p w14:paraId="09796FCF" w14:textId="77777777" w:rsidR="001C3F0C" w:rsidRDefault="00000000">
      <w:pPr>
        <w:tabs>
          <w:tab w:val="left" w:pos="-540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OBSERVACIONES</w:t>
      </w:r>
    </w:p>
    <w:p w14:paraId="12C2FB92" w14:textId="3254B1B7" w:rsidR="001C3F0C" w:rsidRDefault="00000000">
      <w:pPr>
        <w:tabs>
          <w:tab w:val="left" w:pos="-540"/>
        </w:tabs>
        <w:spacing w:line="360" w:lineRule="auto"/>
        <w:jc w:val="left"/>
        <w:rPr>
          <w:b/>
          <w:sz w:val="20"/>
          <w:szCs w:val="20"/>
        </w:rPr>
      </w:pPr>
      <w:r>
        <w:rPr>
          <w:b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</w:t>
      </w:r>
      <w:r w:rsidR="002336CD">
        <w:rPr>
          <w:b/>
          <w:color w:val="000000"/>
          <w:sz w:val="20"/>
          <w:szCs w:val="20"/>
        </w:rPr>
        <w:t>......................................................................................</w:t>
      </w:r>
      <w:r>
        <w:rPr>
          <w:b/>
          <w:color w:val="000000"/>
          <w:sz w:val="20"/>
          <w:szCs w:val="20"/>
        </w:rPr>
        <w:t xml:space="preserve">....... </w:t>
      </w:r>
    </w:p>
    <w:p w14:paraId="5D39B953" w14:textId="77777777" w:rsidR="001C3F0C" w:rsidRDefault="001C3F0C">
      <w:pPr>
        <w:tabs>
          <w:tab w:val="left" w:pos="-540"/>
        </w:tabs>
        <w:jc w:val="center"/>
        <w:rPr>
          <w:sz w:val="20"/>
          <w:szCs w:val="20"/>
        </w:rPr>
      </w:pPr>
    </w:p>
    <w:tbl>
      <w:tblPr>
        <w:tblStyle w:val="a0"/>
        <w:tblW w:w="14144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072"/>
        <w:gridCol w:w="7072"/>
      </w:tblGrid>
      <w:tr w:rsidR="001C3F0C" w14:paraId="5E4E919A" w14:textId="77777777">
        <w:trPr>
          <w:trHeight w:val="737"/>
        </w:trPr>
        <w:tc>
          <w:tcPr>
            <w:tcW w:w="7072" w:type="dxa"/>
          </w:tcPr>
          <w:p w14:paraId="0A878238" w14:textId="77777777" w:rsidR="001C3F0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Firma del técnico</w:t>
            </w:r>
          </w:p>
        </w:tc>
        <w:tc>
          <w:tcPr>
            <w:tcW w:w="7072" w:type="dxa"/>
          </w:tcPr>
          <w:p w14:paraId="0B9B4263" w14:textId="77777777" w:rsidR="001C3F0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Firma de la persona titular/representante</w:t>
            </w:r>
          </w:p>
        </w:tc>
      </w:tr>
      <w:tr w:rsidR="001C3F0C" w14:paraId="15E04B22" w14:textId="77777777">
        <w:trPr>
          <w:trHeight w:val="737"/>
        </w:trPr>
        <w:tc>
          <w:tcPr>
            <w:tcW w:w="7072" w:type="dxa"/>
          </w:tcPr>
          <w:p w14:paraId="07349F49" w14:textId="77777777" w:rsidR="001C3F0C" w:rsidRDefault="001C3F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2" w:type="dxa"/>
          </w:tcPr>
          <w:p w14:paraId="08CF5AEF" w14:textId="77777777" w:rsidR="001C3F0C" w:rsidRDefault="001C3F0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8AF15B1" w14:textId="77777777" w:rsidR="001C3F0C" w:rsidRDefault="001C3F0C">
      <w:pPr>
        <w:rPr>
          <w:sz w:val="20"/>
          <w:szCs w:val="20"/>
        </w:rPr>
      </w:pPr>
    </w:p>
    <w:sectPr w:rsidR="001C3F0C">
      <w:headerReference w:type="default" r:id="rId6"/>
      <w:footerReference w:type="default" r:id="rId7"/>
      <w:pgSz w:w="16838" w:h="11906" w:orient="landscape"/>
      <w:pgMar w:top="1701" w:right="1417" w:bottom="993" w:left="1417" w:header="454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48719" w14:textId="77777777" w:rsidR="00ED7C64" w:rsidRDefault="00ED7C64">
      <w:r>
        <w:separator/>
      </w:r>
    </w:p>
  </w:endnote>
  <w:endnote w:type="continuationSeparator" w:id="0">
    <w:p w14:paraId="16BB54B6" w14:textId="77777777" w:rsidR="00ED7C64" w:rsidRDefault="00ED7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1C3D8" w14:textId="77777777" w:rsidR="001C3F0C" w:rsidRDefault="00000000">
    <w:pPr>
      <w:shd w:val="clear" w:color="auto" w:fill="FFFFFF"/>
      <w:jc w:val="left"/>
      <w:rPr>
        <w:sz w:val="20"/>
        <w:szCs w:val="20"/>
        <w:vertAlign w:val="superscript"/>
      </w:rPr>
    </w:pPr>
    <w:r>
      <w:rPr>
        <w:sz w:val="20"/>
        <w:szCs w:val="20"/>
      </w:rPr>
      <w:t xml:space="preserve">C:  Conforme. NC: No Conforme (Señalar el punto correspondiente). N/A: No Aplica                                                                                                      Página </w:t>
    </w:r>
    <w:r>
      <w:rPr>
        <w:b/>
        <w:sz w:val="20"/>
        <w:szCs w:val="20"/>
      </w:rPr>
      <w:fldChar w:fldCharType="begin"/>
    </w:r>
    <w:r>
      <w:rPr>
        <w:b/>
        <w:sz w:val="20"/>
        <w:szCs w:val="20"/>
      </w:rPr>
      <w:instrText>PAGE</w:instrText>
    </w:r>
    <w:r>
      <w:rPr>
        <w:b/>
        <w:sz w:val="20"/>
        <w:szCs w:val="20"/>
      </w:rPr>
      <w:fldChar w:fldCharType="separate"/>
    </w:r>
    <w:r w:rsidR="00592B7E">
      <w:rPr>
        <w:b/>
        <w:noProof/>
        <w:sz w:val="20"/>
        <w:szCs w:val="20"/>
      </w:rPr>
      <w:t>1</w:t>
    </w:r>
    <w:r>
      <w:rPr>
        <w:b/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b/>
        <w:sz w:val="20"/>
        <w:szCs w:val="20"/>
      </w:rPr>
      <w:fldChar w:fldCharType="begin"/>
    </w:r>
    <w:r>
      <w:rPr>
        <w:b/>
        <w:sz w:val="20"/>
        <w:szCs w:val="20"/>
      </w:rPr>
      <w:instrText>NUMPAGES</w:instrText>
    </w:r>
    <w:r>
      <w:rPr>
        <w:b/>
        <w:sz w:val="20"/>
        <w:szCs w:val="20"/>
      </w:rPr>
      <w:fldChar w:fldCharType="separate"/>
    </w:r>
    <w:r w:rsidR="00592B7E">
      <w:rPr>
        <w:b/>
        <w:noProof/>
        <w:sz w:val="20"/>
        <w:szCs w:val="20"/>
      </w:rPr>
      <w:t>2</w:t>
    </w:r>
    <w:r>
      <w:rPr>
        <w:b/>
        <w:sz w:val="20"/>
        <w:szCs w:val="20"/>
      </w:rPr>
      <w:fldChar w:fldCharType="end"/>
    </w:r>
    <w:r>
      <w:rPr>
        <w:noProof/>
      </w:rPr>
      <w:drawing>
        <wp:anchor distT="0" distB="0" distL="0" distR="0" simplePos="0" relativeHeight="251658240" behindDoc="1" locked="0" layoutInCell="1" hidden="0" allowOverlap="1" wp14:anchorId="1F0F01E7" wp14:editId="1DC8BC2F">
          <wp:simplePos x="0" y="0"/>
          <wp:positionH relativeFrom="column">
            <wp:posOffset>6323965</wp:posOffset>
          </wp:positionH>
          <wp:positionV relativeFrom="paragraph">
            <wp:posOffset>-2593974</wp:posOffset>
          </wp:positionV>
          <wp:extent cx="2602800" cy="253800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02800" cy="253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D7296" w14:textId="77777777" w:rsidR="00ED7C64" w:rsidRDefault="00ED7C64">
      <w:r>
        <w:separator/>
      </w:r>
    </w:p>
  </w:footnote>
  <w:footnote w:type="continuationSeparator" w:id="0">
    <w:p w14:paraId="60F2A42E" w14:textId="77777777" w:rsidR="00ED7C64" w:rsidRDefault="00ED7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CCEEE" w14:textId="77777777" w:rsidR="001C3F0C" w:rsidRDefault="001C3F0C">
    <w:pPr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sz w:val="20"/>
        <w:szCs w:val="20"/>
      </w:rPr>
    </w:pPr>
  </w:p>
  <w:tbl>
    <w:tblPr>
      <w:tblStyle w:val="a1"/>
      <w:tblW w:w="6799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dotted" w:sz="4" w:space="0" w:color="000000"/>
      </w:tblBorders>
      <w:tblLayout w:type="fixed"/>
      <w:tblLook w:val="0400" w:firstRow="0" w:lastRow="0" w:firstColumn="0" w:lastColumn="0" w:noHBand="0" w:noVBand="1"/>
    </w:tblPr>
    <w:tblGrid>
      <w:gridCol w:w="1455"/>
      <w:gridCol w:w="939"/>
      <w:gridCol w:w="895"/>
      <w:gridCol w:w="1526"/>
      <w:gridCol w:w="709"/>
      <w:gridCol w:w="1275"/>
    </w:tblGrid>
    <w:tr w:rsidR="001C3F0C" w14:paraId="6AA87D9B" w14:textId="77777777" w:rsidTr="00C840ED">
      <w:trPr>
        <w:trHeight w:val="454"/>
        <w:jc w:val="center"/>
      </w:trPr>
      <w:tc>
        <w:tcPr>
          <w:tcW w:w="6799" w:type="dxa"/>
          <w:gridSpan w:val="6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A7B6396" w14:textId="77777777" w:rsidR="001C3F0C" w:rsidRDefault="00000000">
          <w:pPr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AUTOCONTROL CAMPAÑA 20 _ _</w:t>
          </w:r>
        </w:p>
      </w:tc>
    </w:tr>
    <w:tr w:rsidR="001C3F0C" w14:paraId="04BD5618" w14:textId="77777777" w:rsidTr="00C840ED">
      <w:trPr>
        <w:trHeight w:val="517"/>
        <w:jc w:val="center"/>
      </w:trPr>
      <w:tc>
        <w:tcPr>
          <w:tcW w:w="145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5CE796EC" w14:textId="77777777" w:rsidR="001C3F0C" w:rsidRDefault="00000000">
          <w:pPr>
            <w:spacing w:line="360" w:lineRule="auto"/>
            <w:jc w:val="lef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Núm. </w:t>
          </w:r>
          <w:proofErr w:type="spellStart"/>
          <w:r>
            <w:rPr>
              <w:b/>
              <w:sz w:val="20"/>
              <w:szCs w:val="20"/>
            </w:rPr>
            <w:t>Exp</w:t>
          </w:r>
          <w:proofErr w:type="spellEnd"/>
          <w:r>
            <w:rPr>
              <w:b/>
              <w:sz w:val="20"/>
              <w:szCs w:val="20"/>
            </w:rPr>
            <w:t>.</w:t>
          </w:r>
        </w:p>
      </w:tc>
      <w:tc>
        <w:tcPr>
          <w:tcW w:w="939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center"/>
        </w:tcPr>
        <w:p w14:paraId="3B95BFFD" w14:textId="77777777" w:rsidR="001C3F0C" w:rsidRDefault="001C3F0C">
          <w:pPr>
            <w:spacing w:line="360" w:lineRule="auto"/>
            <w:jc w:val="left"/>
            <w:rPr>
              <w:b/>
              <w:sz w:val="20"/>
              <w:szCs w:val="20"/>
            </w:rPr>
          </w:pPr>
        </w:p>
      </w:tc>
      <w:tc>
        <w:tcPr>
          <w:tcW w:w="89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7AF32818" w14:textId="77777777" w:rsidR="001C3F0C" w:rsidRDefault="00000000">
          <w:pPr>
            <w:spacing w:line="360" w:lineRule="auto"/>
            <w:jc w:val="lef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Fecha</w:t>
          </w:r>
        </w:p>
      </w:tc>
      <w:tc>
        <w:tcPr>
          <w:tcW w:w="1526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center"/>
        </w:tcPr>
        <w:p w14:paraId="5D562318" w14:textId="77777777" w:rsidR="001C3F0C" w:rsidRDefault="00000000">
          <w:pPr>
            <w:spacing w:line="360" w:lineRule="auto"/>
            <w:jc w:val="lef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_ _/_ _/_ _ _ _</w:t>
          </w:r>
        </w:p>
      </w:tc>
      <w:tc>
        <w:tcPr>
          <w:tcW w:w="70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4C8D2BA8" w14:textId="77777777" w:rsidR="001C3F0C" w:rsidRDefault="00000000">
          <w:pPr>
            <w:spacing w:line="360" w:lineRule="auto"/>
            <w:jc w:val="lef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Hora</w:t>
          </w:r>
        </w:p>
      </w:tc>
      <w:tc>
        <w:tcPr>
          <w:tcW w:w="1275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center"/>
        </w:tcPr>
        <w:p w14:paraId="5ED0A100" w14:textId="77777777" w:rsidR="001C3F0C" w:rsidRDefault="001C3F0C">
          <w:pPr>
            <w:spacing w:line="360" w:lineRule="auto"/>
            <w:jc w:val="left"/>
            <w:rPr>
              <w:b/>
              <w:sz w:val="20"/>
              <w:szCs w:val="20"/>
            </w:rPr>
          </w:pPr>
        </w:p>
      </w:tc>
    </w:tr>
  </w:tbl>
  <w:p w14:paraId="6E9C8911" w14:textId="77777777" w:rsidR="001C3F0C" w:rsidRDefault="001C3F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F0C"/>
    <w:rsid w:val="000F468C"/>
    <w:rsid w:val="001C3F0C"/>
    <w:rsid w:val="002336CD"/>
    <w:rsid w:val="00592B7E"/>
    <w:rsid w:val="00664F41"/>
    <w:rsid w:val="00853880"/>
    <w:rsid w:val="0087335D"/>
    <w:rsid w:val="00C840ED"/>
    <w:rsid w:val="00ED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D270F"/>
  <w15:docId w15:val="{0DB2B744-7E5C-45A1-B079-ACC296F62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ook Antiqua" w:eastAsia="Book Antiqua" w:hAnsi="Book Antiqua" w:cs="Book Antiqua"/>
        <w:sz w:val="22"/>
        <w:szCs w:val="22"/>
        <w:lang w:val="es-ES" w:eastAsia="es-ES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character" w:customStyle="1" w:styleId="Ninguno">
    <w:name w:val="Ninguno"/>
    <w:rsid w:val="00664F41"/>
  </w:style>
  <w:style w:type="paragraph" w:styleId="Encabezado">
    <w:name w:val="header"/>
    <w:basedOn w:val="Normal"/>
    <w:link w:val="EncabezadoCar"/>
    <w:uiPriority w:val="99"/>
    <w:unhideWhenUsed/>
    <w:rsid w:val="00C840E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40ED"/>
  </w:style>
  <w:style w:type="paragraph" w:styleId="Piedepgina">
    <w:name w:val="footer"/>
    <w:basedOn w:val="Normal"/>
    <w:link w:val="PiedepginaCar"/>
    <w:uiPriority w:val="99"/>
    <w:unhideWhenUsed/>
    <w:rsid w:val="00C840E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4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631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consellreguladorin@gmail.com</cp:lastModifiedBy>
  <cp:revision>5</cp:revision>
  <cp:lastPrinted>2023-02-21T07:11:00Z</cp:lastPrinted>
  <dcterms:created xsi:type="dcterms:W3CDTF">2023-02-07T15:24:00Z</dcterms:created>
  <dcterms:modified xsi:type="dcterms:W3CDTF">2023-02-21T07:11:00Z</dcterms:modified>
</cp:coreProperties>
</file>